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00" w:after="120"/>
        <w:rPr/>
      </w:pPr>
      <w:r>
        <w:rPr/>
        <w:t>Informacje ogólne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Mocnowyrniony"/>
        </w:rPr>
        <w:t>Rola</w:t>
      </w:r>
      <w:r>
        <w:rPr/>
        <w:t xml:space="preserve">: Wybierany w bezpośrednich wyborach organ ustawodawczy UE, posiadający funkcje nadzorcze i budżetowe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Mocnowyrniony"/>
        </w:rPr>
        <w:t>Skład</w:t>
      </w:r>
      <w:r>
        <w:rPr/>
        <w:t xml:space="preserve">: 705 posłów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Mocnowyrniony"/>
        </w:rPr>
        <w:t>Przewodniczący</w:t>
      </w:r>
      <w:r>
        <w:rPr/>
        <w:t xml:space="preserve">: David-Maria Sassoli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Mocnowyrniony"/>
        </w:rPr>
        <w:t>Rok ustanowienia</w:t>
      </w:r>
      <w:r>
        <w:rPr/>
        <w:t xml:space="preserve">: 1952 – jako Wspólne Zgromadzenie Europejskiej Wspólnoty Węgla i Stali; 1962 – jako Parlament Europejski; pierwsze wybory bezpośrednie odbyły się w 1979 r.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Mocnowyrniony"/>
        </w:rPr>
        <w:t>Siedziba</w:t>
      </w:r>
      <w:r>
        <w:rPr/>
        <w:t xml:space="preserve">: Strasburg (Francja), Bruksela (Belgia), Luksemburg </w:t>
      </w:r>
    </w:p>
    <w:p>
      <w:pPr>
        <w:pStyle w:val="Tretekstu"/>
        <w:numPr>
          <w:ilvl w:val="0"/>
          <w:numId w:val="0"/>
        </w:numPr>
        <w:ind w:left="707" w:hanging="0"/>
        <w:rPr>
          <w:rStyle w:val="Mocnowyrniony"/>
        </w:rPr>
      </w:pPr>
      <w:r>
        <w:rPr/>
      </w:r>
    </w:p>
    <w:p>
      <w:pPr>
        <w:pStyle w:val="Tretekstu"/>
        <w:rPr/>
      </w:pPr>
      <w:r>
        <w:rPr>
          <w:b w:val="false"/>
          <w:bCs w:val="false"/>
        </w:rPr>
        <w:t xml:space="preserve">Parlament Europejski jest </w:t>
      </w:r>
      <w:r>
        <w:rPr>
          <w:rStyle w:val="Mocnowyrniony"/>
          <w:b w:val="false"/>
          <w:bCs w:val="false"/>
        </w:rPr>
        <w:t>organem ustawodawczym</w:t>
      </w:r>
      <w:r>
        <w:rPr>
          <w:b w:val="false"/>
          <w:bCs w:val="false"/>
        </w:rPr>
        <w:t xml:space="preserve"> UE. Posłowie </w:t>
      </w:r>
      <w:r>
        <w:rPr>
          <w:rStyle w:val="Mocnowyrniony"/>
          <w:b w:val="false"/>
          <w:bCs w:val="false"/>
        </w:rPr>
        <w:t>wybierani są w wyborach bezpośrednich</w:t>
      </w:r>
      <w:r>
        <w:rPr>
          <w:b w:val="false"/>
          <w:bCs w:val="false"/>
        </w:rPr>
        <w:t xml:space="preserve"> co 5 lat Ostatnie wybory odbyły się w maju 2019 r.</w:t>
      </w:r>
    </w:p>
    <w:p>
      <w:pPr>
        <w:pStyle w:val="Nagwek2"/>
        <w:rPr/>
      </w:pPr>
      <w:r>
        <w:rPr/>
        <w:t>Wybory</w:t>
      </w:r>
    </w:p>
    <w:p>
      <w:pPr>
        <w:pStyle w:val="Tretekstu"/>
        <w:rPr/>
      </w:pPr>
      <w:r>
        <w:rPr/>
        <w:t>Wybory do Parlamentu Europejskiego odbyły się w dniach 23–26 maja 2019 r.</w:t>
      </w:r>
    </w:p>
    <w:p>
      <w:pPr>
        <w:pStyle w:val="Nagwek2"/>
        <w:rPr/>
      </w:pPr>
      <w:r>
        <w:rPr/>
        <w:t>Czym zajmuje się Parlament Europejski?</w:t>
      </w:r>
    </w:p>
    <w:p>
      <w:pPr>
        <w:pStyle w:val="Tretekstu"/>
        <w:rPr/>
      </w:pPr>
      <w:r>
        <w:rPr/>
        <w:t xml:space="preserve">Parlament Europejski pełni </w:t>
      </w:r>
      <w:hyperlink r:id="rId2">
        <w:r>
          <w:rPr>
            <w:rStyle w:val="Czeinternetowe"/>
          </w:rPr>
          <w:t>trzy podstawowe funkcje</w:t>
        </w:r>
      </w:hyperlink>
      <w:r>
        <w:rPr/>
        <w:t>:</w:t>
      </w:r>
    </w:p>
    <w:p>
      <w:pPr>
        <w:pStyle w:val="Nagwek3"/>
        <w:rPr/>
      </w:pPr>
      <w:r>
        <w:rPr/>
        <w:t>Funkcja ustawodawcza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uchwala, wraz z </w:t>
      </w:r>
      <w:r>
        <w:rPr/>
        <w:t>Radą UE</w:t>
      </w:r>
      <w:r>
        <w:rPr/>
        <w:t xml:space="preserve">, przepisy prawa europejskiego, w oparciu o wnioski ustawodawcze </w:t>
      </w:r>
      <w:r>
        <w:rPr/>
        <w:t>Komisji Europejskiej</w:t>
      </w:r>
      <w:r>
        <w:rPr/>
        <w:t xml:space="preserve">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podejmuje decyzje w sprawie umów międzynarodowych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podejmuje decyzje w sprawie rozszerzenia UE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bada roczny </w:t>
      </w:r>
      <w:r>
        <w:rPr/>
        <w:t>plan prac</w:t>
      </w:r>
      <w:r>
        <w:rPr/>
        <w:t xml:space="preserve"> Komisji i występuje do Komisji o przedłożenie wniosków ustawodawczych </w:t>
      </w:r>
    </w:p>
    <w:p>
      <w:pPr>
        <w:pStyle w:val="Nagwek3"/>
        <w:rPr/>
      </w:pPr>
      <w:r>
        <w:rPr/>
        <w:t>Funkcja nadzorcza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sprawuje nadzór demokratyczny nad pozostałymi instytucjami europejskimi 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wybiera przewodniczącego Komisji i zatwierdza </w:t>
      </w:r>
      <w:r>
        <w:rPr/>
        <w:t>skład komisji</w:t>
      </w:r>
      <w:r>
        <w:rPr/>
        <w:t xml:space="preserve">; może uchwalić „wotum nieufności”, zmuszając Komisję do dymisji 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udziela absolutorium zwykonania budżetu, tzn. zatwierdza prawidłowe wykonanie budżetu 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rozpatruje </w:t>
      </w:r>
      <w:r>
        <w:rPr>
          <w:rStyle w:val="Mocnowyrniony"/>
        </w:rPr>
        <w:t>petycje</w:t>
      </w:r>
      <w:r>
        <w:rPr/>
        <w:t xml:space="preserve"> od obywateli oraz powołuje </w:t>
      </w:r>
      <w:r>
        <w:rPr>
          <w:rStyle w:val="Mocnowyrniony"/>
        </w:rPr>
        <w:t>komisje śledcze</w:t>
      </w:r>
      <w:r>
        <w:rPr/>
        <w:t xml:space="preserve"> 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omawia kwestie dotyczące polityki pieniężnej z </w:t>
      </w:r>
      <w:hyperlink r:id="rId3">
        <w:r>
          <w:rPr>
            <w:rStyle w:val="Czeinternetowe"/>
          </w:rPr>
          <w:t>Europejskim Bankiem Centralnym</w:t>
        </w:r>
      </w:hyperlink>
      <w:r>
        <w:rPr/>
        <w:t xml:space="preserve"> 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kieruje zapytania do Komisji i Rady 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monitoruje wybory </w:t>
      </w:r>
    </w:p>
    <w:p>
      <w:pPr>
        <w:pStyle w:val="Nagwek3"/>
        <w:rPr/>
      </w:pPr>
      <w:r>
        <w:rPr/>
        <w:t>Funkcja budżetowa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wraz z Radą ustanawia budżet UE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zatwierdza długoterminowy budżet UE, tzw. wieloletnie ramy finansowe </w:t>
      </w:r>
    </w:p>
    <w:p>
      <w:pPr>
        <w:pStyle w:val="Nagwek2"/>
        <w:rPr/>
      </w:pPr>
      <w:r>
        <w:rPr/>
        <w:t>Skład</w:t>
      </w:r>
    </w:p>
    <w:p>
      <w:pPr>
        <w:pStyle w:val="Tretekstu"/>
        <w:rPr/>
      </w:pPr>
      <w:r>
        <w:rPr/>
        <w:t xml:space="preserve">Liczba </w:t>
      </w:r>
      <w:r>
        <w:rPr/>
        <w:t>posłów do PE</w:t>
      </w:r>
      <w:r>
        <w:rPr/>
        <w:t xml:space="preserve"> z każdego kraju jest w przybliżeniu </w:t>
      </w:r>
      <w:r>
        <w:rPr>
          <w:rStyle w:val="Mocnowyrniony"/>
        </w:rPr>
        <w:t>proporcjonalna do liczby jego ludności</w:t>
      </w:r>
      <w:r>
        <w:rPr/>
        <w:t xml:space="preserve">. Zastosowanie ma zasada degresywnej proporcjonalności: żaden kraj nie może mieć mniej niż 6 lub więcej niż 96 posłów do PE, a całkowita liczba posłów nie może przekroczyć 705 (704 plus przewodniczący). Posłowie zasiadają w PE nie według kraju pochodzenia, lecz według </w:t>
      </w:r>
      <w:r>
        <w:rPr/>
        <w:t>przynależności politycznej.</w:t>
      </w:r>
    </w:p>
    <w:p>
      <w:pPr>
        <w:pStyle w:val="Tretekstu"/>
        <w:ind w:left="90" w:right="45" w:hanging="0"/>
        <w:rPr/>
      </w:pPr>
      <w:hyperlink r:id="rId4">
        <w:r>
          <w:rPr>
            <w:rStyle w:val="Mocnowyrniony"/>
          </w:rPr>
          <w:t xml:space="preserve">Przewodniczący - </w:t>
        </w:r>
      </w:hyperlink>
      <w:r>
        <w:rPr>
          <w:rStyle w:val="Mocnowyrniony"/>
        </w:rPr>
        <w:t>reprezentuje Parlament</w:t>
      </w:r>
      <w:r>
        <w:rPr/>
        <w:t xml:space="preserve"> w relacjach z pozostałymi instytucjami UE, jak również w stosunkach ze światem zewnętrznym. Przewodniczący ma ostatnie słowo w sprawie budżetu.</w:t>
      </w:r>
    </w:p>
    <w:p>
      <w:pPr>
        <w:pStyle w:val="Nagwek2"/>
        <w:rPr/>
      </w:pPr>
      <w:r>
        <w:rPr/>
        <w:t>Ile mandatów mają państwa członkowskie w Parlamencie Europejskim?</w:t>
      </w:r>
    </w:p>
    <w:p>
      <w:pPr>
        <w:pStyle w:val="Tretekstu"/>
        <w:rPr/>
      </w:pPr>
      <w:r>
        <w:rPr/>
        <w:drawing>
          <wp:inline distT="0" distB="0" distL="0" distR="0">
            <wp:extent cx="5676265" cy="709104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09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2"/>
        <w:rPr/>
      </w:pPr>
      <w:r>
        <w:rPr/>
      </w:r>
    </w:p>
    <w:p>
      <w:pPr>
        <w:pStyle w:val="Nagwek2"/>
        <w:rPr/>
      </w:pPr>
      <w:r>
        <w:rPr/>
      </w:r>
    </w:p>
    <w:p>
      <w:pPr>
        <w:pStyle w:val="Nagwek2"/>
        <w:rPr/>
      </w:pPr>
      <w:r>
        <w:rPr/>
        <w:t>W jaki sposób działa PE?</w:t>
      </w:r>
    </w:p>
    <w:p>
      <w:pPr>
        <w:pStyle w:val="Tretekstu"/>
        <w:rPr/>
      </w:pPr>
      <w:r>
        <w:rPr/>
        <w:t>Prace Parlamentu przebiegają w dwóch etapach: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hyperlink r:id="rId6">
        <w:r>
          <w:rPr>
            <w:rStyle w:val="Mocnowyrniony"/>
          </w:rPr>
          <w:t>Komisje parlamentarne</w:t>
        </w:r>
      </w:hyperlink>
      <w:r>
        <w:rPr>
          <w:rStyle w:val="Mocnowyrniony"/>
        </w:rPr>
        <w:t xml:space="preserve"> –</w:t>
      </w:r>
      <w:r>
        <w:rPr/>
        <w:t xml:space="preserve"> przygotowanie aktów prawnych</w:t>
        <w:br/>
        <w:t xml:space="preserve">Istnieje </w:t>
      </w:r>
      <w:r>
        <w:rPr>
          <w:rStyle w:val="Mocnowyrniony"/>
        </w:rPr>
        <w:t>20</w:t>
      </w:r>
      <w:r>
        <w:rPr/>
        <w:t xml:space="preserve"> komisji parlamentarnych oraz dwie podkomisje, które specjalizują się w konkretnych obszarach działalności UE. Komisje analizują wnioski ustawodawcze; posłowie i grupy polityczne mogą wprowadzać do nich poprawki lub zadecydować o odrzuceniu danego projektu ustawodawczego. Kwestie te są również omawiane w ramach grup politycznych. </w:t>
      </w:r>
    </w:p>
    <w:p>
      <w:pPr>
        <w:pStyle w:val="Tretekstu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hyperlink r:id="rId7">
        <w:r>
          <w:rPr>
            <w:rStyle w:val="Mocnowyrniony"/>
          </w:rPr>
          <w:t>Sesje plenarne</w:t>
        </w:r>
      </w:hyperlink>
      <w:r>
        <w:rPr/>
        <w:t xml:space="preserve"> – uchwalanie prawa</w:t>
        <w:br/>
        <w:t xml:space="preserve">Podczas sesji plenarnych wszyscy posłowie zbierają się w sali obrad i głosują w sprawie proponowanych przepisów i poprawek. Zwykle odbywają się one w Strasburgu (cztery dni w miesiącu). Czasami w Brukseli odbywają się dodatkowe sesje. </w:t>
      </w:r>
    </w:p>
    <w:p>
      <w:pPr>
        <w:pStyle w:val="Nagwek2"/>
        <w:rPr/>
      </w:pPr>
      <w:r>
        <w:rPr/>
        <w:t>To warto wiedzieć</w:t>
      </w:r>
    </w:p>
    <w:p>
      <w:pPr>
        <w:pStyle w:val="Tretekstu"/>
        <w:rPr/>
      </w:pPr>
      <w:r>
        <w:rPr/>
        <w:t xml:space="preserve">Każdy może </w:t>
      </w:r>
      <w:r>
        <w:rPr>
          <w:rStyle w:val="Mocnowyrniony"/>
        </w:rPr>
        <w:t>wezwać Parlament Europejski do przyjęcia stanowiska</w:t>
      </w:r>
      <w:r>
        <w:rPr/>
        <w:t xml:space="preserve"> w danej sprawie i złożyć </w:t>
      </w:r>
      <w:hyperlink r:id="rId8">
        <w:r>
          <w:rPr>
            <w:rStyle w:val="Czeinternetowe"/>
          </w:rPr>
          <w:t>petycję</w:t>
        </w:r>
      </w:hyperlink>
      <w:r>
        <w:rPr/>
        <w:t xml:space="preserve"> (drogą pocztową lub elektroniczną).</w:t>
      </w:r>
    </w:p>
    <w:p>
      <w:pPr>
        <w:pStyle w:val="Tretekstu"/>
        <w:rPr/>
      </w:pPr>
      <w:r>
        <w:rPr/>
        <w:t xml:space="preserve">Petycje mogą dotyczyć </w:t>
      </w:r>
      <w:r>
        <w:rPr>
          <w:rStyle w:val="Mocnowyrniony"/>
        </w:rPr>
        <w:t>wszystkich spraw</w:t>
      </w:r>
      <w:r>
        <w:rPr/>
        <w:t>, które wchodzą w zakres działalności UE.</w:t>
      </w:r>
    </w:p>
    <w:p>
      <w:pPr>
        <w:pStyle w:val="Tretekstu"/>
        <w:rPr/>
      </w:pPr>
      <w:r>
        <w:rPr/>
        <w:t>Petycję może złożyć każda osoba posiadająca obywatelstwo jednego z krajów UE lub przebywająca legalnie na terytorium UE. Prawo do złożenia petycji przysługuje także przedsiębiorstwom i organizacjom, które posiadają siedzibę w UE.</w:t>
      </w:r>
    </w:p>
    <w:p>
      <w:pPr>
        <w:pStyle w:val="Tretekstu"/>
        <w:rPr/>
      </w:pPr>
      <w:r>
        <w:rPr>
          <w:rStyle w:val="Mocnowyrniony"/>
        </w:rPr>
        <w:t>Można również skontaktować się</w:t>
      </w:r>
      <w:r>
        <w:rPr/>
        <w:t xml:space="preserve"> bezpośrednio z posłem reprezentującym dany kraj lub z </w:t>
      </w:r>
      <w:hyperlink r:id="rId9">
        <w:r>
          <w:rPr>
            <w:rStyle w:val="Czeinternetowe"/>
          </w:rPr>
          <w:t>Biurem Informacyjnym Parlamentu Europejskiego</w:t>
        </w:r>
      </w:hyperlink>
      <w:r>
        <w:rPr/>
        <w:t xml:space="preserve"> w swoim kraju.</w:t>
      </w:r>
    </w:p>
    <w:p>
      <w:pPr>
        <w:pStyle w:val="Tretekstu"/>
        <w:spacing w:before="0" w:after="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uroparl.europa.eu/aboutparliament/pl/20150201PVL00004/Legislative-powers" TargetMode="External"/><Relationship Id="rId3" Type="http://schemas.openxmlformats.org/officeDocument/2006/relationships/hyperlink" Target="https://europa.eu/european-union/about-eu/institutions-bodies/european-central-bank_pl" TargetMode="External"/><Relationship Id="rId4" Type="http://schemas.openxmlformats.org/officeDocument/2006/relationships/hyperlink" Target="http://www.europarl.europa.eu/the-president/en/" TargetMode="External"/><Relationship Id="rId5" Type="http://schemas.openxmlformats.org/officeDocument/2006/relationships/image" Target="https://europa.eu/european-union/sites/europaeu/files/institution_and_bodies/european_parliament/distribution_of_seats_european_parliament_pl.jpg" TargetMode="External"/><Relationship Id="rId6" Type="http://schemas.openxmlformats.org/officeDocument/2006/relationships/hyperlink" Target="http://www.europarl.europa.eu/committees/pl/parliamentary-committees.html" TargetMode="External"/><Relationship Id="rId7" Type="http://schemas.openxmlformats.org/officeDocument/2006/relationships/hyperlink" Target="http://www.europarl.europa.eu/plenary/pl/home.html" TargetMode="External"/><Relationship Id="rId8" Type="http://schemas.openxmlformats.org/officeDocument/2006/relationships/hyperlink" Target="http://www.europarl.europa.eu/atyourservice/pl/20150201PVL00037/Petitions" TargetMode="External"/><Relationship Id="rId9" Type="http://schemas.openxmlformats.org/officeDocument/2006/relationships/hyperlink" Target="http://www.europarl.europa.eu/aboutparliament/pl/information_offices.html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LibreOffice/6.0.6.2$Windows_X86_64 LibreOffice_project/0c292870b25a325b5ed35f6b45599d2ea4458e77</Application>
  <Pages>4</Pages>
  <Words>507</Words>
  <Characters>3184</Characters>
  <CharactersWithSpaces>3653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2020-06-05T08:54:44Z</dcterms:modified>
  <cp:revision>3</cp:revision>
  <dc:subject/>
  <dc:title/>
</cp:coreProperties>
</file>